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5314E9" w14:textId="77777777" w:rsidR="00FF00B2" w:rsidRPr="007A2051" w:rsidRDefault="00FF00B2" w:rsidP="00FF00B2">
      <w:pPr>
        <w:bidi/>
        <w:rPr>
          <w:sz w:val="22"/>
          <w:szCs w:val="22"/>
        </w:rPr>
      </w:pPr>
    </w:p>
    <w:p w14:paraId="755014CB" w14:textId="6DD483CE" w:rsidR="008347D3" w:rsidRDefault="003F16B2" w:rsidP="003F16B2">
      <w:pPr>
        <w:tabs>
          <w:tab w:val="left" w:pos="7290"/>
        </w:tabs>
        <w:bidi/>
      </w:pPr>
      <w:r>
        <w:rPr>
          <w:rtl/>
          <w:lang w:eastAsia="ar"/>
        </w:rPr>
        <w:tab/>
      </w:r>
    </w:p>
    <w:tbl>
      <w:tblPr>
        <w:bidiVisual/>
        <w:tblW w:w="1004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6"/>
        <w:gridCol w:w="3405"/>
        <w:gridCol w:w="739"/>
        <w:gridCol w:w="1725"/>
        <w:gridCol w:w="1932"/>
        <w:gridCol w:w="505"/>
        <w:gridCol w:w="505"/>
        <w:gridCol w:w="507"/>
      </w:tblGrid>
      <w:tr w:rsidR="00B754A6" w:rsidRPr="0078475F" w14:paraId="71DB29A6" w14:textId="77777777" w:rsidTr="00A7350F">
        <w:trPr>
          <w:trHeight w:val="104"/>
          <w:tblHeader/>
          <w:jc w:val="center"/>
        </w:trPr>
        <w:tc>
          <w:tcPr>
            <w:tcW w:w="4131" w:type="dxa"/>
            <w:gridSpan w:val="2"/>
            <w:tcBorders>
              <w:top w:val="single" w:sz="4" w:space="0" w:color="auto"/>
              <w:left w:val="single" w:sz="4" w:space="0" w:color="auto"/>
              <w:bottom w:val="single" w:sz="4" w:space="0" w:color="auto"/>
              <w:right w:val="single" w:sz="4" w:space="0" w:color="auto"/>
            </w:tcBorders>
            <w:noWrap/>
            <w:hideMark/>
          </w:tcPr>
          <w:p w14:paraId="46B35026" w14:textId="77777777" w:rsidR="00B754A6" w:rsidRPr="0078475F" w:rsidRDefault="00B754A6" w:rsidP="00A7350F">
            <w:pPr>
              <w:tabs>
                <w:tab w:val="left" w:pos="1536"/>
              </w:tabs>
              <w:bidi/>
              <w:spacing w:before="20" w:after="20"/>
              <w:rPr>
                <w:rFonts w:cs="Arial"/>
                <w:b/>
                <w:sz w:val="16"/>
                <w:szCs w:val="16"/>
              </w:rPr>
            </w:pPr>
            <w:r w:rsidRPr="0078475F">
              <w:rPr>
                <w:rFonts w:cs="Arial"/>
                <w:b/>
                <w:bCs/>
                <w:sz w:val="16"/>
                <w:szCs w:val="16"/>
                <w:rtl/>
                <w:lang w:eastAsia="ar"/>
              </w:rPr>
              <w:t>اسم المبنى:</w:t>
            </w:r>
          </w:p>
        </w:tc>
        <w:tc>
          <w:tcPr>
            <w:tcW w:w="2464" w:type="dxa"/>
            <w:gridSpan w:val="2"/>
            <w:tcBorders>
              <w:top w:val="single" w:sz="4" w:space="0" w:color="auto"/>
              <w:left w:val="single" w:sz="4" w:space="0" w:color="auto"/>
              <w:bottom w:val="single" w:sz="4" w:space="0" w:color="auto"/>
              <w:right w:val="single" w:sz="4" w:space="0" w:color="auto"/>
            </w:tcBorders>
            <w:hideMark/>
          </w:tcPr>
          <w:p w14:paraId="6816A9E1" w14:textId="77777777" w:rsidR="00B754A6" w:rsidRPr="0078475F" w:rsidRDefault="00B754A6" w:rsidP="00A7350F">
            <w:pPr>
              <w:tabs>
                <w:tab w:val="left" w:pos="1536"/>
              </w:tabs>
              <w:bidi/>
              <w:spacing w:before="20" w:after="20"/>
              <w:rPr>
                <w:rFonts w:cs="Arial"/>
                <w:b/>
                <w:sz w:val="16"/>
                <w:szCs w:val="16"/>
              </w:rPr>
            </w:pPr>
            <w:r w:rsidRPr="0078475F">
              <w:rPr>
                <w:rFonts w:cs="Arial"/>
                <w:b/>
                <w:bCs/>
                <w:sz w:val="16"/>
                <w:szCs w:val="16"/>
                <w:rtl/>
                <w:lang w:eastAsia="ar"/>
              </w:rPr>
              <w:t>رقم المرجع</w:t>
            </w:r>
          </w:p>
        </w:tc>
        <w:tc>
          <w:tcPr>
            <w:tcW w:w="3449" w:type="dxa"/>
            <w:gridSpan w:val="4"/>
            <w:tcBorders>
              <w:top w:val="single" w:sz="4" w:space="0" w:color="auto"/>
              <w:left w:val="single" w:sz="4" w:space="0" w:color="auto"/>
              <w:bottom w:val="single" w:sz="4" w:space="0" w:color="auto"/>
              <w:right w:val="single" w:sz="4" w:space="0" w:color="auto"/>
            </w:tcBorders>
            <w:vAlign w:val="center"/>
          </w:tcPr>
          <w:p w14:paraId="4880020B" w14:textId="77777777" w:rsidR="00B754A6" w:rsidRPr="0078475F" w:rsidRDefault="00B754A6" w:rsidP="00A7350F">
            <w:pPr>
              <w:tabs>
                <w:tab w:val="left" w:pos="1536"/>
              </w:tabs>
              <w:bidi/>
              <w:spacing w:before="20" w:after="20"/>
              <w:rPr>
                <w:rFonts w:cs="Arial"/>
                <w:b/>
                <w:color w:val="000000"/>
                <w:sz w:val="16"/>
                <w:szCs w:val="16"/>
              </w:rPr>
            </w:pPr>
            <w:r>
              <w:rPr>
                <w:rFonts w:cs="Arial"/>
                <w:b/>
                <w:bCs/>
                <w:sz w:val="16"/>
                <w:szCs w:val="16"/>
                <w:rtl/>
                <w:lang w:eastAsia="ar"/>
              </w:rPr>
              <w:t>النسخة:</w:t>
            </w:r>
          </w:p>
        </w:tc>
      </w:tr>
      <w:tr w:rsidR="00B754A6" w:rsidRPr="0078475F" w14:paraId="5DE89BAA" w14:textId="77777777" w:rsidTr="00A7350F">
        <w:trPr>
          <w:trHeight w:val="379"/>
          <w:jc w:val="center"/>
        </w:trPr>
        <w:tc>
          <w:tcPr>
            <w:tcW w:w="10044" w:type="dxa"/>
            <w:gridSpan w:val="8"/>
            <w:tcBorders>
              <w:top w:val="single" w:sz="4" w:space="0" w:color="auto"/>
              <w:left w:val="single" w:sz="4" w:space="0" w:color="auto"/>
              <w:bottom w:val="single" w:sz="4" w:space="0" w:color="auto"/>
              <w:right w:val="single" w:sz="4" w:space="0" w:color="auto"/>
            </w:tcBorders>
            <w:noWrap/>
            <w:vAlign w:val="center"/>
          </w:tcPr>
          <w:p w14:paraId="7FD9B458" w14:textId="5B0E7D79" w:rsidR="00B754A6" w:rsidRPr="0078475F" w:rsidRDefault="00B754A6" w:rsidP="00C66466">
            <w:pPr>
              <w:bidi/>
              <w:ind w:left="-102" w:right="-73"/>
              <w:jc w:val="center"/>
              <w:rPr>
                <w:rFonts w:cs="Arial"/>
                <w:color w:val="000000"/>
                <w:rtl/>
              </w:rPr>
            </w:pPr>
            <w:r>
              <w:rPr>
                <w:rFonts w:cs="Arial"/>
                <w:b/>
                <w:bCs/>
                <w:rtl/>
                <w:lang w:eastAsia="ar"/>
              </w:rPr>
              <w:t xml:space="preserve">نظام أجهزة القياس والتحكم </w:t>
            </w:r>
            <w:r w:rsidR="008E2649">
              <w:rPr>
                <w:rFonts w:cs="Arial"/>
                <w:b/>
                <w:bCs/>
                <w:rtl/>
                <w:lang w:eastAsia="ar"/>
              </w:rPr>
              <w:t>–</w:t>
            </w:r>
            <w:r>
              <w:rPr>
                <w:rFonts w:cs="Arial"/>
                <w:b/>
                <w:bCs/>
                <w:rtl/>
                <w:lang w:eastAsia="ar"/>
              </w:rPr>
              <w:t xml:space="preserve"> </w:t>
            </w:r>
            <w:r w:rsidR="008E2649">
              <w:rPr>
                <w:rFonts w:cs="Arial" w:hint="cs"/>
                <w:b/>
                <w:bCs/>
                <w:rtl/>
                <w:lang w:eastAsia="ar"/>
              </w:rPr>
              <w:t xml:space="preserve">المرافق </w:t>
            </w:r>
            <w:r w:rsidR="00C66466">
              <w:rPr>
                <w:rFonts w:cs="Arial" w:hint="cs"/>
                <w:b/>
                <w:bCs/>
                <w:rtl/>
                <w:lang w:eastAsia="ar"/>
              </w:rPr>
              <w:t>السكنية</w:t>
            </w:r>
          </w:p>
        </w:tc>
      </w:tr>
      <w:tr w:rsidR="00B754A6" w:rsidRPr="0078475F" w14:paraId="34736BB9" w14:textId="77777777" w:rsidTr="00A7350F">
        <w:trPr>
          <w:trHeight w:val="285"/>
          <w:jc w:val="center"/>
        </w:trPr>
        <w:tc>
          <w:tcPr>
            <w:tcW w:w="10044" w:type="dxa"/>
            <w:gridSpan w:val="8"/>
            <w:tcBorders>
              <w:top w:val="single" w:sz="4" w:space="0" w:color="auto"/>
              <w:left w:val="single" w:sz="4" w:space="0" w:color="auto"/>
              <w:bottom w:val="single" w:sz="4" w:space="0" w:color="auto"/>
              <w:right w:val="single" w:sz="4" w:space="0" w:color="auto"/>
            </w:tcBorders>
            <w:noWrap/>
            <w:vAlign w:val="center"/>
            <w:hideMark/>
          </w:tcPr>
          <w:p w14:paraId="3FA8A0CD" w14:textId="77777777" w:rsidR="00B754A6" w:rsidRDefault="00B754A6" w:rsidP="00A7350F">
            <w:pPr>
              <w:bidi/>
              <w:spacing w:before="40" w:after="40"/>
              <w:jc w:val="left"/>
              <w:rPr>
                <w:rFonts w:cs="Arial"/>
                <w:sz w:val="18"/>
                <w:szCs w:val="24"/>
              </w:rPr>
            </w:pPr>
            <w:r>
              <w:rPr>
                <w:rFonts w:cs="Arial"/>
                <w:sz w:val="18"/>
                <w:szCs w:val="18"/>
                <w:rtl/>
                <w:lang w:eastAsia="ar"/>
              </w:rPr>
              <w:t>يُعَّد إجراء الطوارئ دليلاً إرشاديًا مخصصًا لمناطق المرافق التي تتضمن خدمات معقدة مثل، غرفة المرجل الرئيسية أو غرفة المعدات المتخصصة. يمكن إدراج الإجراءات التي يتعيّن على الأشخاص المفوضين والمكلفين اتخاذها ضمن إشعار المباشرة.</w:t>
            </w:r>
          </w:p>
          <w:p w14:paraId="432D9C5C" w14:textId="77777777" w:rsidR="00B754A6" w:rsidRPr="0078475F" w:rsidRDefault="00B754A6" w:rsidP="00A7350F">
            <w:pPr>
              <w:bidi/>
              <w:spacing w:before="40" w:after="40"/>
              <w:jc w:val="left"/>
              <w:rPr>
                <w:rFonts w:cs="Arial"/>
                <w:sz w:val="18"/>
                <w:szCs w:val="24"/>
              </w:rPr>
            </w:pPr>
          </w:p>
          <w:p w14:paraId="47D43EA0" w14:textId="7EA7B999" w:rsidR="00B754A6" w:rsidRPr="0078475F" w:rsidRDefault="00B754A6" w:rsidP="00ED79CA">
            <w:pPr>
              <w:bidi/>
              <w:spacing w:before="40" w:after="40"/>
              <w:jc w:val="left"/>
              <w:rPr>
                <w:rFonts w:cs="Arial"/>
                <w:color w:val="000000"/>
              </w:rPr>
            </w:pPr>
            <w:r w:rsidRPr="0078475F">
              <w:rPr>
                <w:rFonts w:cs="Arial"/>
                <w:sz w:val="18"/>
                <w:szCs w:val="18"/>
                <w:rtl/>
                <w:lang w:eastAsia="ar"/>
              </w:rPr>
              <w:t>تمثّل الخطوات المبينة أدناه مؤشرات بسيطة لبعض المشاكل التي قد تنشأ في النظام، وقد تكون هناك حاجة لإعداد قائمة أكثر تفصيلًا لكل جانب من الجوانب. وينبغي توضيح ا</w:t>
            </w:r>
            <w:r w:rsidR="00ED79CA">
              <w:rPr>
                <w:rFonts w:cs="Arial"/>
                <w:sz w:val="18"/>
                <w:szCs w:val="18"/>
                <w:rtl/>
                <w:lang w:eastAsia="ar"/>
              </w:rPr>
              <w:t xml:space="preserve">لمهام المطلوبة من </w:t>
            </w:r>
            <w:r w:rsidR="00ED79CA">
              <w:rPr>
                <w:rFonts w:cs="Arial" w:hint="cs"/>
                <w:sz w:val="18"/>
                <w:szCs w:val="18"/>
                <w:rtl/>
                <w:lang w:eastAsia="ar"/>
              </w:rPr>
              <w:t xml:space="preserve">الموظفين </w:t>
            </w:r>
            <w:r w:rsidRPr="0078475F">
              <w:rPr>
                <w:rFonts w:cs="Arial"/>
                <w:sz w:val="18"/>
                <w:szCs w:val="18"/>
                <w:rtl/>
                <w:lang w:eastAsia="ar"/>
              </w:rPr>
              <w:t>الذين يتم تكليفهم وذلك من أجل اتخاذ التدابير الصحيحة التي من شأنها تقليل الآثار المترتبة على وقوع أي أزمة.</w:t>
            </w:r>
          </w:p>
        </w:tc>
      </w:tr>
      <w:tr w:rsidR="00B754A6" w:rsidRPr="0078475F" w14:paraId="7C5E7ED9" w14:textId="77777777" w:rsidTr="00A7350F">
        <w:trPr>
          <w:trHeight w:val="306"/>
          <w:jc w:val="center"/>
        </w:trPr>
        <w:tc>
          <w:tcPr>
            <w:tcW w:w="72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F86BC0" w14:textId="77777777" w:rsidR="00B754A6" w:rsidRPr="0078475F" w:rsidRDefault="00B754A6" w:rsidP="00A7350F">
            <w:pPr>
              <w:bidi/>
              <w:jc w:val="center"/>
              <w:rPr>
                <w:rFonts w:cs="Arial"/>
                <w:b/>
              </w:rPr>
            </w:pPr>
          </w:p>
          <w:p w14:paraId="42F2357B" w14:textId="2F7F2FC1" w:rsidR="00B754A6" w:rsidRPr="0078475F" w:rsidRDefault="00DD0787" w:rsidP="00A7350F">
            <w:pPr>
              <w:bidi/>
              <w:jc w:val="center"/>
              <w:rPr>
                <w:rFonts w:cs="Arial"/>
                <w:b/>
              </w:rPr>
            </w:pPr>
            <w:r w:rsidRPr="00560057">
              <w:rPr>
                <w:rFonts w:cs="Arial"/>
                <w:b/>
                <w:bCs/>
                <w:rtl/>
                <w:lang w:eastAsia="ar"/>
              </w:rPr>
              <w:t>الرقم</w:t>
            </w:r>
            <w:r w:rsidRPr="0078475F">
              <w:rPr>
                <w:rFonts w:cs="Arial"/>
                <w:b/>
              </w:rPr>
              <w:t xml:space="preserve"> </w:t>
            </w:r>
          </w:p>
        </w:tc>
        <w:tc>
          <w:tcPr>
            <w:tcW w:w="7801" w:type="dxa"/>
            <w:gridSpan w:val="4"/>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FA84CD" w14:textId="77777777" w:rsidR="00B754A6" w:rsidRPr="0078475F" w:rsidRDefault="00B754A6" w:rsidP="00A7350F">
            <w:pPr>
              <w:bidi/>
              <w:jc w:val="center"/>
              <w:rPr>
                <w:rFonts w:cs="Arial"/>
                <w:b/>
              </w:rPr>
            </w:pPr>
          </w:p>
          <w:p w14:paraId="05C59381" w14:textId="77777777" w:rsidR="00B754A6" w:rsidRPr="0078475F" w:rsidRDefault="00B754A6" w:rsidP="00A7350F">
            <w:pPr>
              <w:bidi/>
              <w:jc w:val="center"/>
              <w:rPr>
                <w:rFonts w:cs="Arial"/>
                <w:b/>
              </w:rPr>
            </w:pPr>
            <w:r w:rsidRPr="0078475F">
              <w:rPr>
                <w:rFonts w:cs="Arial"/>
                <w:b/>
                <w:bCs/>
                <w:rtl/>
                <w:lang w:eastAsia="ar"/>
              </w:rPr>
              <w:t>قائمة تدقيق إجراءات الاستجابة للطوارئ</w:t>
            </w:r>
          </w:p>
          <w:p w14:paraId="07B865FA" w14:textId="77777777" w:rsidR="00B754A6" w:rsidRPr="0078475F" w:rsidRDefault="00B754A6" w:rsidP="00A7350F">
            <w:pPr>
              <w:bidi/>
              <w:jc w:val="center"/>
              <w:rPr>
                <w:rFonts w:cs="Arial"/>
                <w:b/>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82CDE71" w14:textId="77777777" w:rsidR="00B754A6" w:rsidRPr="0078475F" w:rsidRDefault="00B754A6" w:rsidP="00A7350F">
            <w:pPr>
              <w:bidi/>
              <w:ind w:left="-104" w:right="-105"/>
              <w:jc w:val="center"/>
              <w:rPr>
                <w:rFonts w:cs="Arial"/>
                <w:b/>
                <w:bCs/>
                <w:color w:val="000000"/>
                <w:sz w:val="16"/>
                <w:szCs w:val="16"/>
              </w:rPr>
            </w:pPr>
            <w:r w:rsidRPr="0078475F">
              <w:rPr>
                <w:rFonts w:cs="Arial"/>
                <w:b/>
                <w:bCs/>
                <w:sz w:val="16"/>
                <w:szCs w:val="16"/>
                <w:rtl/>
                <w:lang w:eastAsia="ar"/>
              </w:rPr>
              <w:t>مرضٍ</w:t>
            </w:r>
          </w:p>
        </w:tc>
      </w:tr>
      <w:tr w:rsidR="00DD0787" w:rsidRPr="0078475F" w14:paraId="467DD4C8" w14:textId="77777777" w:rsidTr="00A7350F">
        <w:trPr>
          <w:trHeight w:val="200"/>
          <w:tblHeader/>
          <w:jc w:val="center"/>
        </w:trPr>
        <w:tc>
          <w:tcPr>
            <w:tcW w:w="726" w:type="dxa"/>
            <w:vMerge/>
            <w:tcBorders>
              <w:top w:val="single" w:sz="4" w:space="0" w:color="auto"/>
              <w:left w:val="single" w:sz="4" w:space="0" w:color="auto"/>
              <w:bottom w:val="single" w:sz="4" w:space="0" w:color="auto"/>
              <w:right w:val="single" w:sz="4" w:space="0" w:color="auto"/>
            </w:tcBorders>
            <w:vAlign w:val="center"/>
            <w:hideMark/>
          </w:tcPr>
          <w:p w14:paraId="503536F4" w14:textId="77777777" w:rsidR="00DD0787" w:rsidRPr="0078475F" w:rsidRDefault="00DD0787" w:rsidP="00DD0787">
            <w:pPr>
              <w:bidi/>
              <w:jc w:val="left"/>
              <w:rPr>
                <w:b/>
              </w:rPr>
            </w:pPr>
          </w:p>
        </w:tc>
        <w:tc>
          <w:tcPr>
            <w:tcW w:w="7801" w:type="dxa"/>
            <w:gridSpan w:val="4"/>
            <w:vMerge/>
            <w:tcBorders>
              <w:top w:val="single" w:sz="4" w:space="0" w:color="auto"/>
              <w:left w:val="single" w:sz="4" w:space="0" w:color="auto"/>
              <w:bottom w:val="single" w:sz="4" w:space="0" w:color="auto"/>
              <w:right w:val="single" w:sz="4" w:space="0" w:color="auto"/>
            </w:tcBorders>
            <w:vAlign w:val="center"/>
            <w:hideMark/>
          </w:tcPr>
          <w:p w14:paraId="248A0CAD" w14:textId="77777777" w:rsidR="00DD0787" w:rsidRPr="0078475F" w:rsidRDefault="00DD0787" w:rsidP="00DD0787">
            <w:pPr>
              <w:bidi/>
              <w:jc w:val="left"/>
              <w:rPr>
                <w:b/>
              </w:rPr>
            </w:pP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F15211D" w14:textId="4DFBE3E5" w:rsidR="00DD0787" w:rsidRPr="0078475F" w:rsidRDefault="00DD0787" w:rsidP="00DD0787">
            <w:pPr>
              <w:bidi/>
              <w:ind w:left="-104" w:right="-105"/>
              <w:jc w:val="center"/>
              <w:rPr>
                <w:rFonts w:cs="Arial"/>
                <w:b/>
                <w:bCs/>
                <w:sz w:val="16"/>
                <w:szCs w:val="16"/>
              </w:rPr>
            </w:pPr>
            <w:r w:rsidRPr="00560057">
              <w:rPr>
                <w:rFonts w:cs="Arial"/>
                <w:b/>
                <w:bCs/>
                <w:sz w:val="16"/>
                <w:szCs w:val="16"/>
                <w:rtl/>
                <w:lang w:eastAsia="ar"/>
              </w:rPr>
              <w:t>غير منطبق</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8A42E53" w14:textId="77777777" w:rsidR="00DD0787" w:rsidRPr="0078475F" w:rsidRDefault="00DD0787" w:rsidP="00DD0787">
            <w:pPr>
              <w:bidi/>
              <w:ind w:left="-104" w:right="-105"/>
              <w:jc w:val="center"/>
              <w:rPr>
                <w:rFonts w:cs="Arial"/>
                <w:b/>
                <w:bCs/>
                <w:sz w:val="16"/>
                <w:szCs w:val="16"/>
              </w:rPr>
            </w:pPr>
            <w:r w:rsidRPr="0078475F">
              <w:rPr>
                <w:rFonts w:cs="Arial"/>
                <w:b/>
                <w:bCs/>
                <w:sz w:val="16"/>
                <w:szCs w:val="16"/>
                <w:rtl/>
                <w:lang w:eastAsia="ar"/>
              </w:rPr>
              <w:t>نعم</w:t>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92095B" w14:textId="77777777" w:rsidR="00DD0787" w:rsidRPr="0078475F" w:rsidRDefault="00DD0787" w:rsidP="00DD0787">
            <w:pPr>
              <w:bidi/>
              <w:ind w:left="-104" w:right="-105"/>
              <w:jc w:val="center"/>
              <w:rPr>
                <w:rFonts w:cs="Arial"/>
                <w:b/>
                <w:bCs/>
                <w:sz w:val="16"/>
                <w:szCs w:val="16"/>
              </w:rPr>
            </w:pPr>
            <w:r w:rsidRPr="0078475F">
              <w:rPr>
                <w:rFonts w:cs="Arial"/>
                <w:b/>
                <w:bCs/>
                <w:sz w:val="16"/>
                <w:szCs w:val="16"/>
                <w:rtl/>
                <w:lang w:eastAsia="ar"/>
              </w:rPr>
              <w:t>لا</w:t>
            </w:r>
          </w:p>
        </w:tc>
      </w:tr>
      <w:tr w:rsidR="00B754A6" w:rsidRPr="0078475F" w14:paraId="6890FEA1"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458C5A2"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1</w:t>
            </w:r>
          </w:p>
        </w:tc>
        <w:tc>
          <w:tcPr>
            <w:tcW w:w="7801" w:type="dxa"/>
            <w:gridSpan w:val="4"/>
            <w:tcBorders>
              <w:top w:val="single" w:sz="4" w:space="0" w:color="auto"/>
              <w:left w:val="single" w:sz="4" w:space="0" w:color="auto"/>
              <w:bottom w:val="single" w:sz="4" w:space="0" w:color="auto"/>
              <w:right w:val="single" w:sz="4" w:space="0" w:color="auto"/>
            </w:tcBorders>
            <w:hideMark/>
          </w:tcPr>
          <w:p w14:paraId="3CA2D4E8"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تحديد الجهة المسؤولة عن المشكلة</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DCEA830"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172676"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F2B3B5B"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r>
      <w:tr w:rsidR="00B754A6" w:rsidRPr="0078475F" w14:paraId="72D29AF7"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D8547F9"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2</w:t>
            </w:r>
          </w:p>
        </w:tc>
        <w:tc>
          <w:tcPr>
            <w:tcW w:w="7801" w:type="dxa"/>
            <w:gridSpan w:val="4"/>
            <w:tcBorders>
              <w:top w:val="single" w:sz="4" w:space="0" w:color="auto"/>
              <w:left w:val="single" w:sz="4" w:space="0" w:color="auto"/>
              <w:bottom w:val="single" w:sz="4" w:space="0" w:color="auto"/>
              <w:right w:val="single" w:sz="4" w:space="0" w:color="auto"/>
            </w:tcBorders>
            <w:hideMark/>
          </w:tcPr>
          <w:p w14:paraId="1D26DB00" w14:textId="383BD509" w:rsidR="00B754A6" w:rsidRPr="0078475F" w:rsidRDefault="00B754A6" w:rsidP="00A7350F">
            <w:pPr>
              <w:bidi/>
              <w:spacing w:before="40" w:after="40"/>
              <w:jc w:val="left"/>
              <w:rPr>
                <w:rFonts w:cs="Arial"/>
                <w:sz w:val="18"/>
                <w:szCs w:val="18"/>
              </w:rPr>
            </w:pPr>
            <w:r w:rsidRPr="0078475F">
              <w:rPr>
                <w:rFonts w:cs="Arial"/>
                <w:sz w:val="18"/>
                <w:szCs w:val="18"/>
                <w:rtl/>
                <w:lang w:eastAsia="ar"/>
              </w:rPr>
              <w:t>هل للحدث تأثير على سلامة / رعاية المرضى / الجمهور / الموظفين؟</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6AC43AC"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9AD11EC"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F956F11"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r>
      <w:tr w:rsidR="00B754A6" w:rsidRPr="0078475F" w14:paraId="22EE3312"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48FF3FD"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3</w:t>
            </w:r>
          </w:p>
        </w:tc>
        <w:tc>
          <w:tcPr>
            <w:tcW w:w="7801" w:type="dxa"/>
            <w:gridSpan w:val="4"/>
            <w:tcBorders>
              <w:top w:val="single" w:sz="4" w:space="0" w:color="auto"/>
              <w:left w:val="single" w:sz="4" w:space="0" w:color="auto"/>
              <w:bottom w:val="single" w:sz="4" w:space="0" w:color="auto"/>
              <w:right w:val="single" w:sz="4" w:space="0" w:color="auto"/>
            </w:tcBorders>
            <w:hideMark/>
          </w:tcPr>
          <w:p w14:paraId="718FE6EE"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هل هناك حاجة للإخلاء؟</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89B373E"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5A305E3"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A25B06D"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r>
      <w:tr w:rsidR="00B754A6" w:rsidRPr="0078475F" w14:paraId="1B0BC2A7"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729FB7A"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4</w:t>
            </w:r>
          </w:p>
        </w:tc>
        <w:tc>
          <w:tcPr>
            <w:tcW w:w="7801" w:type="dxa"/>
            <w:gridSpan w:val="4"/>
            <w:tcBorders>
              <w:top w:val="single" w:sz="4" w:space="0" w:color="auto"/>
              <w:left w:val="single" w:sz="4" w:space="0" w:color="auto"/>
              <w:bottom w:val="single" w:sz="4" w:space="0" w:color="auto"/>
              <w:right w:val="single" w:sz="4" w:space="0" w:color="auto"/>
            </w:tcBorders>
            <w:hideMark/>
          </w:tcPr>
          <w:p w14:paraId="10A14B2B"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خطر اندلاع الحرائق أو انخفاض القدرة على مكافحة الحرائق</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6CD6DEA"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FE73CF"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ADC92D"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r>
      <w:tr w:rsidR="00B754A6" w:rsidRPr="0078475F" w14:paraId="5689F211"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D374B86"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5</w:t>
            </w:r>
          </w:p>
        </w:tc>
        <w:tc>
          <w:tcPr>
            <w:tcW w:w="7801" w:type="dxa"/>
            <w:gridSpan w:val="4"/>
            <w:tcBorders>
              <w:top w:val="single" w:sz="4" w:space="0" w:color="auto"/>
              <w:left w:val="single" w:sz="4" w:space="0" w:color="auto"/>
              <w:bottom w:val="single" w:sz="4" w:space="0" w:color="auto"/>
              <w:right w:val="single" w:sz="4" w:space="0" w:color="auto"/>
            </w:tcBorders>
            <w:hideMark/>
          </w:tcPr>
          <w:p w14:paraId="3D5918C4" w14:textId="5362A7CD" w:rsidR="00B754A6" w:rsidRPr="0078475F" w:rsidRDefault="00B754A6" w:rsidP="00A7350F">
            <w:pPr>
              <w:bidi/>
              <w:spacing w:before="40" w:after="40"/>
              <w:jc w:val="left"/>
              <w:rPr>
                <w:rFonts w:cs="Arial"/>
                <w:sz w:val="18"/>
                <w:szCs w:val="18"/>
              </w:rPr>
            </w:pPr>
            <w:r w:rsidRPr="0078475F">
              <w:rPr>
                <w:rFonts w:cs="Arial"/>
                <w:sz w:val="18"/>
                <w:szCs w:val="18"/>
                <w:rtl/>
                <w:lang w:eastAsia="ar"/>
              </w:rPr>
              <w:t>مراعاة تأثير الحدث على إمدادات الكهرباء والارتفاعات المفاجئة في الطاقة على أدوات التحكم</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17DCD0"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47EE797"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3873F08"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r>
      <w:tr w:rsidR="00B754A6" w:rsidRPr="0078475F" w14:paraId="5BD4E6AF"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0518600E"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6</w:t>
            </w:r>
          </w:p>
        </w:tc>
        <w:tc>
          <w:tcPr>
            <w:tcW w:w="7801" w:type="dxa"/>
            <w:gridSpan w:val="4"/>
            <w:tcBorders>
              <w:top w:val="single" w:sz="4" w:space="0" w:color="auto"/>
              <w:left w:val="nil"/>
              <w:bottom w:val="single" w:sz="4" w:space="0" w:color="auto"/>
              <w:right w:val="single" w:sz="4" w:space="0" w:color="auto"/>
            </w:tcBorders>
            <w:hideMark/>
          </w:tcPr>
          <w:p w14:paraId="13299F74" w14:textId="666C96A4" w:rsidR="00B754A6" w:rsidRPr="0078475F" w:rsidRDefault="00B754A6" w:rsidP="00A7350F">
            <w:pPr>
              <w:bidi/>
              <w:spacing w:before="40" w:after="40"/>
              <w:jc w:val="left"/>
              <w:rPr>
                <w:rFonts w:cs="Arial"/>
                <w:sz w:val="18"/>
                <w:szCs w:val="18"/>
              </w:rPr>
            </w:pPr>
            <w:r w:rsidRPr="0078475F">
              <w:rPr>
                <w:rFonts w:cs="Arial"/>
                <w:sz w:val="18"/>
                <w:szCs w:val="18"/>
                <w:rtl/>
                <w:lang w:eastAsia="ar"/>
              </w:rPr>
              <w:t xml:space="preserve">مراعاة تأثير الحدث على إمدادات الغاز وأدوات التحكم الكهربائي </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ED6D89E"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40F712"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E5346ED"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r>
      <w:tr w:rsidR="00B754A6" w:rsidRPr="0078475F" w14:paraId="60EDE9E6"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1A2B9B1"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7</w:t>
            </w:r>
          </w:p>
        </w:tc>
        <w:tc>
          <w:tcPr>
            <w:tcW w:w="7801" w:type="dxa"/>
            <w:gridSpan w:val="4"/>
            <w:tcBorders>
              <w:top w:val="single" w:sz="4" w:space="0" w:color="auto"/>
              <w:left w:val="nil"/>
              <w:bottom w:val="single" w:sz="4" w:space="0" w:color="auto"/>
              <w:right w:val="single" w:sz="4" w:space="0" w:color="auto"/>
            </w:tcBorders>
            <w:hideMark/>
          </w:tcPr>
          <w:p w14:paraId="2ABA8748" w14:textId="6EDBF634" w:rsidR="00B754A6" w:rsidRPr="0078475F" w:rsidRDefault="00B754A6" w:rsidP="00A7350F">
            <w:pPr>
              <w:bidi/>
              <w:spacing w:before="40" w:after="40"/>
              <w:jc w:val="left"/>
              <w:rPr>
                <w:rFonts w:cs="Arial"/>
                <w:sz w:val="18"/>
                <w:szCs w:val="18"/>
              </w:rPr>
            </w:pPr>
            <w:r w:rsidRPr="0078475F">
              <w:rPr>
                <w:rFonts w:cs="Arial"/>
                <w:sz w:val="18"/>
                <w:szCs w:val="18"/>
                <w:rtl/>
                <w:lang w:eastAsia="ar"/>
              </w:rPr>
              <w:t xml:space="preserve">مراعاة تأثير الحدث على إمدادات المياه وأدوات التحكم الكهربائي </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0E48FAD"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B68B45D"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ADC4FCB"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r>
      <w:tr w:rsidR="00B754A6" w:rsidRPr="0078475F" w14:paraId="6F15109E"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232FD84"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8</w:t>
            </w:r>
          </w:p>
        </w:tc>
        <w:tc>
          <w:tcPr>
            <w:tcW w:w="7801" w:type="dxa"/>
            <w:gridSpan w:val="4"/>
            <w:tcBorders>
              <w:top w:val="single" w:sz="4" w:space="0" w:color="auto"/>
              <w:left w:val="nil"/>
              <w:bottom w:val="single" w:sz="4" w:space="0" w:color="auto"/>
              <w:right w:val="single" w:sz="4" w:space="0" w:color="auto"/>
            </w:tcBorders>
            <w:hideMark/>
          </w:tcPr>
          <w:p w14:paraId="19346614"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مراعاة تأثير الحدث على أدوات التحكم الكهربائي في الصرف</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A3CDECB"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C3BB6D6"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E20635"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r>
      <w:tr w:rsidR="00B754A6" w:rsidRPr="0078475F" w14:paraId="5F35A65D"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62B76DC"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9</w:t>
            </w:r>
          </w:p>
        </w:tc>
        <w:tc>
          <w:tcPr>
            <w:tcW w:w="7801" w:type="dxa"/>
            <w:gridSpan w:val="4"/>
            <w:tcBorders>
              <w:top w:val="single" w:sz="4" w:space="0" w:color="auto"/>
              <w:left w:val="nil"/>
              <w:bottom w:val="single" w:sz="4" w:space="0" w:color="auto"/>
              <w:right w:val="single" w:sz="4" w:space="0" w:color="auto"/>
            </w:tcBorders>
            <w:hideMark/>
          </w:tcPr>
          <w:p w14:paraId="1C7B9A55"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مراعاة تأثير الحدث على أنظمة الأطراف الأخرى وأدوات التحكم في نظام إدارة المباني</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CDC8280"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2873740"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5F686B"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r>
      <w:tr w:rsidR="00B754A6" w:rsidRPr="0078475F" w14:paraId="689F0B0F"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83C214B"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10</w:t>
            </w:r>
          </w:p>
        </w:tc>
        <w:tc>
          <w:tcPr>
            <w:tcW w:w="7801" w:type="dxa"/>
            <w:gridSpan w:val="4"/>
            <w:tcBorders>
              <w:top w:val="single" w:sz="4" w:space="0" w:color="auto"/>
              <w:left w:val="single" w:sz="4" w:space="0" w:color="auto"/>
              <w:bottom w:val="single" w:sz="4" w:space="0" w:color="auto"/>
              <w:right w:val="single" w:sz="4" w:space="0" w:color="auto"/>
            </w:tcBorders>
            <w:hideMark/>
          </w:tcPr>
          <w:p w14:paraId="25D5F61E"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مراعاة تأثير الحدث على أمن الموقع</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C4F9566"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4231BE2"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F17EEC"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r>
      <w:tr w:rsidR="00B754A6" w:rsidRPr="0078475F" w14:paraId="7D57578D"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8782ACC"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11</w:t>
            </w:r>
          </w:p>
        </w:tc>
        <w:tc>
          <w:tcPr>
            <w:tcW w:w="7801" w:type="dxa"/>
            <w:gridSpan w:val="4"/>
            <w:tcBorders>
              <w:top w:val="single" w:sz="4" w:space="0" w:color="auto"/>
              <w:left w:val="single" w:sz="4" w:space="0" w:color="auto"/>
              <w:bottom w:val="single" w:sz="4" w:space="0" w:color="auto"/>
              <w:right w:val="single" w:sz="4" w:space="0" w:color="auto"/>
            </w:tcBorders>
            <w:hideMark/>
          </w:tcPr>
          <w:p w14:paraId="750EA09C"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مراعاة تأثير الحدث على فقدان البيانات وأمنها</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D346BF8"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F1EE720"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F95B542"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r>
      <w:tr w:rsidR="00B754A6" w:rsidRPr="0078475F" w14:paraId="0DC59876"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AC6AD5E"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12</w:t>
            </w:r>
          </w:p>
        </w:tc>
        <w:tc>
          <w:tcPr>
            <w:tcW w:w="7801" w:type="dxa"/>
            <w:gridSpan w:val="4"/>
            <w:tcBorders>
              <w:top w:val="single" w:sz="4" w:space="0" w:color="auto"/>
              <w:left w:val="single" w:sz="4" w:space="0" w:color="auto"/>
              <w:bottom w:val="single" w:sz="4" w:space="0" w:color="auto"/>
              <w:right w:val="single" w:sz="4" w:space="0" w:color="auto"/>
            </w:tcBorders>
            <w:hideMark/>
          </w:tcPr>
          <w:p w14:paraId="52F5AD6A"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التأثير على إعادة تفعيل إطلاق الإنذارات</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0A932D"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EBCECC1"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0D385EC"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r>
      <w:tr w:rsidR="00B754A6" w:rsidRPr="0078475F" w14:paraId="0BEF3FA1"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076A5A8"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13</w:t>
            </w:r>
          </w:p>
        </w:tc>
        <w:tc>
          <w:tcPr>
            <w:tcW w:w="7801" w:type="dxa"/>
            <w:gridSpan w:val="4"/>
            <w:tcBorders>
              <w:top w:val="single" w:sz="4" w:space="0" w:color="auto"/>
              <w:left w:val="single" w:sz="4" w:space="0" w:color="auto"/>
              <w:bottom w:val="single" w:sz="4" w:space="0" w:color="auto"/>
              <w:right w:val="single" w:sz="4" w:space="0" w:color="auto"/>
            </w:tcBorders>
            <w:hideMark/>
          </w:tcPr>
          <w:p w14:paraId="12BE001E"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هل ستتأثر الأنظمة الحيوية وماذا عن مدة الانقطاع؟</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172989"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A12DCE"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7672B27"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r>
      <w:tr w:rsidR="00B754A6" w:rsidRPr="0078475F" w14:paraId="5CD227B3"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468A966"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14</w:t>
            </w:r>
          </w:p>
        </w:tc>
        <w:tc>
          <w:tcPr>
            <w:tcW w:w="7801" w:type="dxa"/>
            <w:gridSpan w:val="4"/>
            <w:tcBorders>
              <w:top w:val="single" w:sz="4" w:space="0" w:color="auto"/>
              <w:left w:val="single" w:sz="4" w:space="0" w:color="auto"/>
              <w:bottom w:val="single" w:sz="4" w:space="0" w:color="auto"/>
              <w:right w:val="single" w:sz="4" w:space="0" w:color="auto"/>
            </w:tcBorders>
            <w:hideMark/>
          </w:tcPr>
          <w:p w14:paraId="6E37AACF"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هل هناك تأثير على النفايات الطبية؟</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8A0B1AC"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7CCF1AB"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601354"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r>
      <w:tr w:rsidR="00B754A6" w:rsidRPr="0078475F" w14:paraId="42111DE6"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0549E1FC"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15</w:t>
            </w:r>
          </w:p>
        </w:tc>
        <w:tc>
          <w:tcPr>
            <w:tcW w:w="7801" w:type="dxa"/>
            <w:gridSpan w:val="4"/>
            <w:tcBorders>
              <w:top w:val="single" w:sz="4" w:space="0" w:color="auto"/>
              <w:left w:val="single" w:sz="4" w:space="0" w:color="auto"/>
              <w:bottom w:val="single" w:sz="4" w:space="0" w:color="auto"/>
              <w:right w:val="single" w:sz="4" w:space="0" w:color="auto"/>
            </w:tcBorders>
            <w:hideMark/>
          </w:tcPr>
          <w:p w14:paraId="7E6F3FDC"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الاتفاق على نطاق المسؤولية</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F1C76C"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7C2E50"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096FC1"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r>
      <w:tr w:rsidR="00B754A6" w:rsidRPr="0078475F" w14:paraId="25E24245"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5B4D1C7"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16</w:t>
            </w:r>
          </w:p>
        </w:tc>
        <w:tc>
          <w:tcPr>
            <w:tcW w:w="7801" w:type="dxa"/>
            <w:gridSpan w:val="4"/>
            <w:tcBorders>
              <w:top w:val="single" w:sz="4" w:space="0" w:color="auto"/>
              <w:left w:val="single" w:sz="4" w:space="0" w:color="auto"/>
              <w:bottom w:val="single" w:sz="4" w:space="0" w:color="auto"/>
              <w:right w:val="single" w:sz="4" w:space="0" w:color="auto"/>
            </w:tcBorders>
            <w:hideMark/>
          </w:tcPr>
          <w:p w14:paraId="24E0953D"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إجراءات الإدارة السريرية</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6CA05BF"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F4B6042"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9B87EB9"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r>
      <w:tr w:rsidR="00B754A6" w:rsidRPr="0078475F" w14:paraId="752B9BAA"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4151A58"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17</w:t>
            </w:r>
          </w:p>
        </w:tc>
        <w:tc>
          <w:tcPr>
            <w:tcW w:w="7801" w:type="dxa"/>
            <w:gridSpan w:val="4"/>
            <w:tcBorders>
              <w:top w:val="single" w:sz="4" w:space="0" w:color="auto"/>
              <w:left w:val="single" w:sz="4" w:space="0" w:color="auto"/>
              <w:bottom w:val="single" w:sz="4" w:space="0" w:color="auto"/>
              <w:right w:val="single" w:sz="4" w:space="0" w:color="auto"/>
            </w:tcBorders>
            <w:hideMark/>
          </w:tcPr>
          <w:p w14:paraId="68A09488"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 xml:space="preserve">مشاركة فريق مكافحة العدوى في حال عدم توفر بيانات نظام إدارة المباني </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36F1B44"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875F532"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04C2B73"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r>
      <w:tr w:rsidR="00B754A6" w:rsidRPr="0078475F" w14:paraId="4A90EF9C"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4FFAE23"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18</w:t>
            </w:r>
          </w:p>
        </w:tc>
        <w:tc>
          <w:tcPr>
            <w:tcW w:w="7801" w:type="dxa"/>
            <w:gridSpan w:val="4"/>
            <w:tcBorders>
              <w:top w:val="single" w:sz="4" w:space="0" w:color="auto"/>
              <w:left w:val="single" w:sz="4" w:space="0" w:color="auto"/>
              <w:bottom w:val="single" w:sz="4" w:space="0" w:color="auto"/>
              <w:right w:val="single" w:sz="4" w:space="0" w:color="auto"/>
            </w:tcBorders>
            <w:hideMark/>
          </w:tcPr>
          <w:p w14:paraId="7FC84569"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هل يجب مخاطبة العلاقات العامة؟</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1BBF09"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07C99B4"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7217BA3"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r>
      <w:tr w:rsidR="00B754A6" w:rsidRPr="0078475F" w14:paraId="6033E254"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54513E1"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19</w:t>
            </w:r>
          </w:p>
        </w:tc>
        <w:tc>
          <w:tcPr>
            <w:tcW w:w="7801" w:type="dxa"/>
            <w:gridSpan w:val="4"/>
            <w:tcBorders>
              <w:top w:val="single" w:sz="4" w:space="0" w:color="auto"/>
              <w:left w:val="single" w:sz="4" w:space="0" w:color="auto"/>
              <w:bottom w:val="single" w:sz="4" w:space="0" w:color="auto"/>
              <w:right w:val="single" w:sz="4" w:space="0" w:color="auto"/>
            </w:tcBorders>
            <w:hideMark/>
          </w:tcPr>
          <w:p w14:paraId="36188145"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استعراض اتفاقيات مستوى الخدمات مع الموردين</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524086F"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647865"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6B8E03"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r>
      <w:tr w:rsidR="00B754A6" w:rsidRPr="0078475F" w14:paraId="6E459066"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417E972B"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20</w:t>
            </w:r>
          </w:p>
        </w:tc>
        <w:tc>
          <w:tcPr>
            <w:tcW w:w="7801" w:type="dxa"/>
            <w:gridSpan w:val="4"/>
            <w:tcBorders>
              <w:top w:val="single" w:sz="4" w:space="0" w:color="auto"/>
              <w:left w:val="single" w:sz="4" w:space="0" w:color="auto"/>
              <w:bottom w:val="single" w:sz="4" w:space="0" w:color="auto"/>
              <w:right w:val="single" w:sz="4" w:space="0" w:color="auto"/>
            </w:tcBorders>
            <w:hideMark/>
          </w:tcPr>
          <w:p w14:paraId="307A209E"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إشراك الخدمات التجارية</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4218A0"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AB79A0C"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09DBC16"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r>
      <w:tr w:rsidR="00B754A6" w:rsidRPr="0078475F" w14:paraId="3826DF8B"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DC1955B"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21</w:t>
            </w:r>
          </w:p>
        </w:tc>
        <w:tc>
          <w:tcPr>
            <w:tcW w:w="7801" w:type="dxa"/>
            <w:gridSpan w:val="4"/>
            <w:tcBorders>
              <w:top w:val="single" w:sz="4" w:space="0" w:color="auto"/>
              <w:left w:val="single" w:sz="4" w:space="0" w:color="auto"/>
              <w:bottom w:val="single" w:sz="4" w:space="0" w:color="auto"/>
              <w:right w:val="single" w:sz="4" w:space="0" w:color="auto"/>
            </w:tcBorders>
            <w:hideMark/>
          </w:tcPr>
          <w:p w14:paraId="068BD174" w14:textId="6FCD7373" w:rsidR="00B754A6" w:rsidRPr="0078475F" w:rsidRDefault="00B754A6" w:rsidP="00FC50C4">
            <w:pPr>
              <w:bidi/>
              <w:spacing w:before="40" w:after="40"/>
              <w:jc w:val="left"/>
              <w:rPr>
                <w:rFonts w:cs="Arial"/>
                <w:sz w:val="18"/>
                <w:szCs w:val="18"/>
              </w:rPr>
            </w:pPr>
            <w:r w:rsidRPr="0078475F">
              <w:rPr>
                <w:rFonts w:cs="Arial"/>
                <w:sz w:val="18"/>
                <w:szCs w:val="18"/>
                <w:rtl/>
                <w:lang w:eastAsia="ar"/>
              </w:rPr>
              <w:t xml:space="preserve">تسجيل بيانات الاتصال بأفراد الجهات </w:t>
            </w:r>
            <w:r w:rsidR="00FC50C4">
              <w:rPr>
                <w:rFonts w:cs="Arial" w:hint="cs"/>
                <w:sz w:val="18"/>
                <w:szCs w:val="18"/>
                <w:rtl/>
                <w:lang w:eastAsia="ar"/>
              </w:rPr>
              <w:t>الحكومية</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CEEF953"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DFC91C"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232F67D"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B12A51">
              <w:rPr>
                <w:rFonts w:cs="Arial"/>
                <w:color w:val="000000"/>
                <w:rtl/>
                <w:lang w:eastAsia="ar"/>
              </w:rPr>
            </w:r>
            <w:r w:rsidR="00B12A51">
              <w:rPr>
                <w:rFonts w:cs="Arial"/>
                <w:color w:val="000000"/>
                <w:rtl/>
                <w:lang w:eastAsia="ar"/>
              </w:rPr>
              <w:fldChar w:fldCharType="separate"/>
            </w:r>
            <w:r w:rsidRPr="0078475F">
              <w:rPr>
                <w:rFonts w:cs="Arial"/>
                <w:color w:val="000000"/>
                <w:rtl/>
                <w:lang w:eastAsia="ar"/>
              </w:rPr>
              <w:fldChar w:fldCharType="end"/>
            </w:r>
          </w:p>
        </w:tc>
      </w:tr>
      <w:tr w:rsidR="00B754A6" w:rsidRPr="0078475F" w14:paraId="5CC263E7"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465AB1EF" w14:textId="1C82CC3D" w:rsidR="00B754A6" w:rsidRPr="000F7804" w:rsidRDefault="00DD0787" w:rsidP="00A7350F">
            <w:pPr>
              <w:bidi/>
              <w:spacing w:before="40" w:after="40"/>
              <w:jc w:val="center"/>
              <w:rPr>
                <w:b/>
              </w:rPr>
            </w:pPr>
            <w:r w:rsidRPr="00560057">
              <w:rPr>
                <w:rFonts w:cs="Arial"/>
                <w:b/>
                <w:bCs/>
                <w:rtl/>
                <w:lang w:eastAsia="ar"/>
              </w:rPr>
              <w:t>الرقم</w:t>
            </w:r>
          </w:p>
        </w:tc>
        <w:tc>
          <w:tcPr>
            <w:tcW w:w="414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06900E2" w14:textId="77777777" w:rsidR="00B754A6" w:rsidRPr="000F7804" w:rsidRDefault="00B754A6" w:rsidP="00A7350F">
            <w:pPr>
              <w:bidi/>
              <w:spacing w:before="40" w:after="40"/>
              <w:jc w:val="center"/>
              <w:rPr>
                <w:rFonts w:cs="Arial"/>
                <w:b/>
              </w:rPr>
            </w:pPr>
            <w:r w:rsidRPr="000F7804">
              <w:rPr>
                <w:rFonts w:cs="Arial"/>
                <w:b/>
                <w:bCs/>
                <w:rtl/>
                <w:lang w:eastAsia="ar"/>
              </w:rPr>
              <w:t>ملاحظات المُراجع</w:t>
            </w:r>
          </w:p>
        </w:tc>
        <w:tc>
          <w:tcPr>
            <w:tcW w:w="5174"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7539685" w14:textId="77777777" w:rsidR="00B754A6" w:rsidRPr="000F7804" w:rsidRDefault="00B754A6" w:rsidP="00A7350F">
            <w:pPr>
              <w:bidi/>
              <w:spacing w:before="40" w:after="40"/>
              <w:jc w:val="center"/>
              <w:rPr>
                <w:rFonts w:cs="Arial"/>
                <w:b/>
              </w:rPr>
            </w:pPr>
            <w:r w:rsidRPr="000F7804">
              <w:rPr>
                <w:rFonts w:cs="Arial"/>
                <w:b/>
                <w:bCs/>
                <w:rtl/>
                <w:lang w:eastAsia="ar"/>
              </w:rPr>
              <w:t>القرار</w:t>
            </w:r>
          </w:p>
        </w:tc>
      </w:tr>
      <w:tr w:rsidR="00B754A6" w:rsidRPr="0078475F" w14:paraId="6597AAD8"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287F6ADD" w14:textId="77777777" w:rsidR="00B754A6" w:rsidRPr="0078475F" w:rsidRDefault="00B754A6" w:rsidP="00A7350F">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3B3360E0" w14:textId="77777777" w:rsidR="00B754A6" w:rsidRPr="0078475F" w:rsidRDefault="00B754A6" w:rsidP="00A7350F">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3D183AE1" w14:textId="77777777" w:rsidR="00B754A6" w:rsidRPr="0078475F" w:rsidRDefault="00B754A6" w:rsidP="00A7350F">
            <w:pPr>
              <w:bidi/>
              <w:spacing w:before="40" w:after="40"/>
              <w:jc w:val="left"/>
              <w:rPr>
                <w:rFonts w:cs="Arial"/>
                <w:sz w:val="18"/>
                <w:szCs w:val="18"/>
              </w:rPr>
            </w:pPr>
          </w:p>
        </w:tc>
      </w:tr>
      <w:tr w:rsidR="00B754A6" w:rsidRPr="0078475F" w14:paraId="33630152"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068209E6" w14:textId="77777777" w:rsidR="00B754A6" w:rsidRPr="0078475F" w:rsidRDefault="00B754A6" w:rsidP="00A7350F">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45C25F79" w14:textId="77777777" w:rsidR="00B754A6" w:rsidRPr="0078475F" w:rsidRDefault="00B754A6" w:rsidP="00A7350F">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4CD57129" w14:textId="77777777" w:rsidR="00B754A6" w:rsidRPr="0078475F" w:rsidRDefault="00B754A6" w:rsidP="00A7350F">
            <w:pPr>
              <w:bidi/>
              <w:spacing w:before="40" w:after="40"/>
              <w:jc w:val="left"/>
              <w:rPr>
                <w:rFonts w:cs="Arial"/>
                <w:sz w:val="18"/>
                <w:szCs w:val="18"/>
              </w:rPr>
            </w:pPr>
          </w:p>
        </w:tc>
      </w:tr>
      <w:tr w:rsidR="00B754A6" w:rsidRPr="0078475F" w14:paraId="4A1A56A2"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78366EF1" w14:textId="77777777" w:rsidR="00B754A6" w:rsidRPr="0078475F" w:rsidRDefault="00B754A6" w:rsidP="00A7350F">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5B4B10AE" w14:textId="77777777" w:rsidR="00B754A6" w:rsidRPr="0078475F" w:rsidRDefault="00B754A6" w:rsidP="00A7350F">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69CBCA3C" w14:textId="77777777" w:rsidR="00B754A6" w:rsidRPr="0078475F" w:rsidRDefault="00B754A6" w:rsidP="00A7350F">
            <w:pPr>
              <w:bidi/>
              <w:spacing w:before="40" w:after="40"/>
              <w:jc w:val="left"/>
              <w:rPr>
                <w:rFonts w:cs="Arial"/>
                <w:sz w:val="18"/>
                <w:szCs w:val="18"/>
              </w:rPr>
            </w:pPr>
          </w:p>
        </w:tc>
      </w:tr>
      <w:tr w:rsidR="00B754A6" w:rsidRPr="0078475F" w14:paraId="7FF38592"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6F7A61D6" w14:textId="77777777" w:rsidR="00B754A6" w:rsidRPr="0078475F" w:rsidRDefault="00B754A6" w:rsidP="00A7350F">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4508388A" w14:textId="77777777" w:rsidR="00B754A6" w:rsidRPr="0078475F" w:rsidRDefault="00B754A6" w:rsidP="00A7350F">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676DF241" w14:textId="77777777" w:rsidR="00B754A6" w:rsidRPr="0078475F" w:rsidRDefault="00B754A6" w:rsidP="00A7350F">
            <w:pPr>
              <w:bidi/>
              <w:spacing w:before="40" w:after="40"/>
              <w:jc w:val="left"/>
              <w:rPr>
                <w:rFonts w:cs="Arial"/>
                <w:sz w:val="18"/>
                <w:szCs w:val="18"/>
              </w:rPr>
            </w:pPr>
          </w:p>
        </w:tc>
      </w:tr>
      <w:tr w:rsidR="00B754A6" w:rsidRPr="0078475F" w14:paraId="6B157DE3" w14:textId="77777777" w:rsidTr="00A7350F">
        <w:trPr>
          <w:trHeight w:val="104"/>
          <w:jc w:val="center"/>
        </w:trPr>
        <w:tc>
          <w:tcPr>
            <w:tcW w:w="4870" w:type="dxa"/>
            <w:gridSpan w:val="3"/>
            <w:tcBorders>
              <w:top w:val="single" w:sz="4" w:space="0" w:color="auto"/>
              <w:left w:val="single" w:sz="4" w:space="0" w:color="auto"/>
              <w:bottom w:val="single" w:sz="4" w:space="0" w:color="auto"/>
              <w:right w:val="single" w:sz="4" w:space="0" w:color="auto"/>
            </w:tcBorders>
            <w:noWrap/>
            <w:vAlign w:val="center"/>
            <w:hideMark/>
          </w:tcPr>
          <w:p w14:paraId="3C5829B3"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اسم المعدّ / التوقيع والتاريخ:</w:t>
            </w:r>
          </w:p>
        </w:tc>
        <w:tc>
          <w:tcPr>
            <w:tcW w:w="5174" w:type="dxa"/>
            <w:gridSpan w:val="5"/>
            <w:tcBorders>
              <w:top w:val="single" w:sz="4" w:space="0" w:color="auto"/>
              <w:left w:val="single" w:sz="4" w:space="0" w:color="auto"/>
              <w:bottom w:val="single" w:sz="4" w:space="0" w:color="auto"/>
              <w:right w:val="single" w:sz="4" w:space="0" w:color="auto"/>
            </w:tcBorders>
            <w:vAlign w:val="center"/>
            <w:hideMark/>
          </w:tcPr>
          <w:p w14:paraId="1D449504"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اسم الشخص القائم بالفحص / التوقيع والتاريخ:</w:t>
            </w:r>
          </w:p>
        </w:tc>
      </w:tr>
      <w:tr w:rsidR="00B754A6" w:rsidRPr="0078475F" w14:paraId="2D25EC4F" w14:textId="77777777" w:rsidTr="00A7350F">
        <w:trPr>
          <w:trHeight w:val="336"/>
          <w:jc w:val="center"/>
        </w:trPr>
        <w:tc>
          <w:tcPr>
            <w:tcW w:w="4870" w:type="dxa"/>
            <w:gridSpan w:val="3"/>
            <w:tcBorders>
              <w:top w:val="single" w:sz="4" w:space="0" w:color="auto"/>
              <w:left w:val="single" w:sz="4" w:space="0" w:color="auto"/>
              <w:bottom w:val="single" w:sz="4" w:space="0" w:color="auto"/>
              <w:right w:val="single" w:sz="4" w:space="0" w:color="auto"/>
            </w:tcBorders>
            <w:noWrap/>
            <w:vAlign w:val="center"/>
          </w:tcPr>
          <w:p w14:paraId="328B5996" w14:textId="77777777" w:rsidR="00B754A6" w:rsidRPr="0078475F" w:rsidRDefault="00B754A6" w:rsidP="00A7350F">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26F8AD87" w14:textId="77777777" w:rsidR="00B754A6" w:rsidRPr="0078475F" w:rsidRDefault="00B754A6" w:rsidP="00A7350F">
            <w:pPr>
              <w:bidi/>
              <w:spacing w:before="40" w:after="40"/>
              <w:jc w:val="left"/>
              <w:rPr>
                <w:rFonts w:cs="Arial"/>
                <w:sz w:val="18"/>
                <w:szCs w:val="18"/>
              </w:rPr>
            </w:pPr>
          </w:p>
        </w:tc>
      </w:tr>
    </w:tbl>
    <w:p w14:paraId="62EF3C06" w14:textId="77777777" w:rsidR="008347D3" w:rsidRPr="008347D3" w:rsidRDefault="008347D3" w:rsidP="008347D3">
      <w:pPr>
        <w:bidi/>
      </w:pPr>
    </w:p>
    <w:p w14:paraId="0ED5FDA4" w14:textId="77777777" w:rsidR="008347D3" w:rsidRPr="008347D3" w:rsidRDefault="008347D3" w:rsidP="008347D3">
      <w:pPr>
        <w:bidi/>
      </w:pPr>
    </w:p>
    <w:p w14:paraId="2469F505" w14:textId="5A8839DF" w:rsidR="008347D3" w:rsidRPr="008347D3" w:rsidRDefault="008347D3" w:rsidP="008347D3">
      <w:pPr>
        <w:bidi/>
      </w:pPr>
    </w:p>
    <w:p w14:paraId="0B8F225E" w14:textId="77777777" w:rsidR="008347D3" w:rsidRPr="008347D3" w:rsidRDefault="008347D3" w:rsidP="008347D3">
      <w:pPr>
        <w:bidi/>
      </w:pPr>
    </w:p>
    <w:p w14:paraId="0C903306" w14:textId="77777777" w:rsidR="008347D3" w:rsidRPr="008347D3" w:rsidRDefault="008347D3" w:rsidP="008347D3">
      <w:pPr>
        <w:bidi/>
      </w:pPr>
    </w:p>
    <w:p w14:paraId="52FF2676" w14:textId="77777777" w:rsidR="008347D3" w:rsidRPr="008347D3" w:rsidRDefault="008347D3" w:rsidP="008347D3">
      <w:pPr>
        <w:bidi/>
      </w:pPr>
    </w:p>
    <w:p w14:paraId="2E39E006" w14:textId="6376002A" w:rsidR="00A40481" w:rsidRPr="008347D3" w:rsidRDefault="008347D3" w:rsidP="008347D3">
      <w:pPr>
        <w:tabs>
          <w:tab w:val="left" w:pos="6750"/>
        </w:tabs>
        <w:bidi/>
      </w:pPr>
      <w:r>
        <w:rPr>
          <w:rtl/>
          <w:lang w:eastAsia="ar"/>
        </w:rPr>
        <w:tab/>
      </w:r>
    </w:p>
    <w:sectPr w:rsidR="00A40481" w:rsidRPr="008347D3" w:rsidSect="009A22A2">
      <w:headerReference w:type="default" r:id="rId11"/>
      <w:footerReference w:type="default" r:id="rId12"/>
      <w:pgSz w:w="11907" w:h="16840" w:code="9"/>
      <w:pgMar w:top="1094" w:right="1138" w:bottom="1080" w:left="1411" w:header="432"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0E486" w14:textId="77777777" w:rsidR="00B12A51" w:rsidRDefault="00B12A51">
      <w:r>
        <w:separator/>
      </w:r>
    </w:p>
    <w:p w14:paraId="7FCBBFD1" w14:textId="77777777" w:rsidR="00B12A51" w:rsidRDefault="00B12A51"/>
  </w:endnote>
  <w:endnote w:type="continuationSeparator" w:id="0">
    <w:p w14:paraId="53C09462" w14:textId="77777777" w:rsidR="00B12A51" w:rsidRDefault="00B12A51">
      <w:r>
        <w:continuationSeparator/>
      </w:r>
    </w:p>
    <w:p w14:paraId="1E0968A4" w14:textId="77777777" w:rsidR="00B12A51" w:rsidRDefault="00B12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E77E6" w14:textId="584D45C3" w:rsidR="009A22A2" w:rsidRDefault="009A22A2" w:rsidP="009A22A2">
    <w:pPr>
      <w:spacing w:after="120"/>
      <w:rPr>
        <w:rFonts w:eastAsia="Arial" w:cs="Arial"/>
        <w:color w:val="7A8D95"/>
        <w:sz w:val="16"/>
        <w:szCs w:val="16"/>
      </w:rPr>
    </w:pPr>
    <w:r>
      <w:rPr>
        <w:noProof/>
      </w:rPr>
      <mc:AlternateContent>
        <mc:Choice Requires="wps">
          <w:drawing>
            <wp:anchor distT="0" distB="0" distL="114300" distR="114300" simplePos="0" relativeHeight="251661312" behindDoc="0" locked="0" layoutInCell="1" allowOverlap="1" wp14:anchorId="68479804" wp14:editId="1D9FBC4E">
              <wp:simplePos x="0" y="0"/>
              <wp:positionH relativeFrom="margin">
                <wp:align>left</wp:align>
              </wp:positionH>
              <wp:positionV relativeFrom="paragraph">
                <wp:posOffset>172085</wp:posOffset>
              </wp:positionV>
              <wp:extent cx="62103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90574A" id="Straight Connector 4"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8SygEAAHQDAAAOAAAAZHJzL2Uyb0RvYy54bWysU02P0zAQvSPxHyzfadKyXbpR0xVqtVwQ&#10;VFr4AVPHSSz5SzOmaf89Y7dbFrghenBn7PEbvzcv68eTs+KokUzwrZzPaim0V6Ezfmjl929P71ZS&#10;UALfgQ1et/KsST5u3r5ZT7HRizAG22kUDOKpmWIrx5RiU1WkRu2AZiFqz4d9QAeJUxyqDmFidGer&#10;RV3fV1PALmJQmoh3d5dDuSn4fa9V+tr3pJOwreS3pbJiWQ95rTZraAaEOBp1fQb8wyscGM9Nb1A7&#10;SCB+oPkLyhmFgUKfZiq4KvS9UbpwYDbz+g82zyNEXbiwOBRvMtH/g1VfjnsUpmvlnRQeHI/oOSGY&#10;YUxiG7xnAQOKu6zTFKnh8q3f4zWjuMdM+tSjy/9MR5yKtuebtvqUhOLN+8W8fl/zCNTLWfXrYkRK&#10;n3RwIgettMZn2tDA8TMlbsalLyV524cnY20ZnfViauXDcrFkZGAD9RYShy4yJfKDFGAHdqZKWBAp&#10;WNPl2xmHcDhsLYojsDs+fFztHpaZKHf7rSy33gGNl7pydPGNM4nNa41r5arOv+tt6zO6Lva7Esji&#10;XeTK0SF056JilTMebWl6tWH2zuuc49cfy+Yn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htMvEsoBAAB0AwAADgAAAAAAAAAA&#10;AAAAAAAuAgAAZHJzL2Uyb0RvYy54bWxQSwECLQAUAAYACAAAACEAsfN6KNoAAAAGAQAADwAAAAAA&#10;AAAAAAAAAAAkBAAAZHJzL2Rvd25yZXYueG1sUEsFBgAAAAAEAAQA8wAAACsFAAAAAA==&#10;" strokecolor="#7a8d95">
              <v:stroke joinstyle="miter"/>
              <w10:wrap anchorx="margin"/>
            </v:line>
          </w:pict>
        </mc:Fallback>
      </mc:AlternateContent>
    </w:r>
    <w:r>
      <w:rPr>
        <w:rFonts w:eastAsia="Arial" w:cs="Arial"/>
        <w:color w:val="7A8D95"/>
        <w:sz w:val="16"/>
        <w:szCs w:val="16"/>
      </w:rPr>
      <w:t xml:space="preserve">Document No.: </w:t>
    </w:r>
    <w:sdt>
      <w:sdtPr>
        <w:rPr>
          <w:rFonts w:eastAsia="Arial" w:cs="Arial"/>
          <w:color w:val="7A8D95"/>
          <w:sz w:val="16"/>
          <w:szCs w:val="16"/>
        </w:rPr>
        <w:alias w:val="Subject"/>
        <w:id w:val="-714113139"/>
        <w:placeholder>
          <w:docPart w:val="5E64584A9469418AB4E3D8800E846DB7"/>
        </w:placeholder>
        <w:dataBinding w:prefixMappings="xmlns:ns0='http://purl.org/dc/elements/1.1/' xmlns:ns1='http://schemas.openxmlformats.org/package/2006/metadata/core-properties' " w:xpath="/ns1:coreProperties[1]/ns0:subject[1]" w:storeItemID="{6C3C8BC8-F283-45AE-878A-BAB7291924A1}"/>
        <w:text/>
      </w:sdtPr>
      <w:sdtEndPr/>
      <w:sdtContent>
        <w:r w:rsidR="005A4D7E">
          <w:rPr>
            <w:rFonts w:eastAsia="Arial" w:cs="Arial"/>
            <w:color w:val="7A8D95"/>
            <w:sz w:val="16"/>
            <w:szCs w:val="16"/>
          </w:rPr>
          <w:t xml:space="preserve">EOM-ZO0-TP-000124-AR </w:t>
        </w:r>
      </w:sdtContent>
    </w:sdt>
    <w:r>
      <w:rPr>
        <w:rFonts w:eastAsia="Arial" w:cs="Arial"/>
        <w:color w:val="7A8D95"/>
        <w:sz w:val="16"/>
        <w:szCs w:val="16"/>
      </w:rPr>
      <w:t xml:space="preserve">Rev </w:t>
    </w:r>
    <w:sdt>
      <w:sdtPr>
        <w:rPr>
          <w:rFonts w:eastAsia="Arial" w:cs="Arial"/>
          <w:color w:val="7A8D95"/>
          <w:sz w:val="16"/>
          <w:szCs w:val="16"/>
        </w:rPr>
        <w:alias w:val="Status"/>
        <w:id w:val="-1712712415"/>
        <w:placeholder>
          <w:docPart w:val="F34D1980DF204EA9A4B7B424CDE15087"/>
        </w:placeholder>
        <w:dataBinding w:prefixMappings="xmlns:ns0='http://purl.org/dc/elements/1.1/' xmlns:ns1='http://schemas.openxmlformats.org/package/2006/metadata/core-properties' " w:xpath="/ns1:coreProperties[1]/ns1:contentStatus[1]" w:storeItemID="{6C3C8BC8-F283-45AE-878A-BAB7291924A1}"/>
        <w:text/>
      </w:sdtPr>
      <w:sdtEndPr/>
      <w:sdtContent>
        <w:r>
          <w:rPr>
            <w:rFonts w:eastAsia="Arial" w:cs="Arial"/>
            <w:color w:val="7A8D95"/>
            <w:sz w:val="16"/>
            <w:szCs w:val="16"/>
          </w:rPr>
          <w:t>000</w:t>
        </w:r>
      </w:sdtContent>
    </w:sdt>
    <w:r>
      <w:rPr>
        <w:rFonts w:eastAsia="Arial" w:cs="Arial"/>
        <w:color w:val="7A8D95"/>
        <w:sz w:val="16"/>
        <w:szCs w:val="16"/>
      </w:rPr>
      <w:t xml:space="preserve"> | </w:t>
    </w:r>
    <w:r>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F535B59F730C4547AA1F141E3DC2959F"/>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eastAsia="Arial" w:cs="Arial"/>
            <w:b/>
            <w:color w:val="2F4A58"/>
            <w:sz w:val="16"/>
            <w:szCs w:val="16"/>
            <w:lang w:val="en-AU"/>
          </w:rPr>
          <w:t>3-E - External</w:t>
        </w:r>
      </w:sdtContent>
    </w:sdt>
  </w:p>
  <w:p w14:paraId="48DA8A72" w14:textId="77777777" w:rsidR="009A22A2" w:rsidRDefault="009A22A2" w:rsidP="009A22A2">
    <w:pPr>
      <w:framePr w:wrap="none" w:vAnchor="text" w:hAnchor="page" w:x="11611" w:y="323"/>
      <w:spacing w:after="120"/>
      <w:rPr>
        <w:rFonts w:ascii="SST Arabic" w:eastAsia="Arial" w:hAnsi="SST Arabic" w:cs="SST Arabic"/>
        <w:b/>
        <w:bCs/>
        <w:color w:val="7A8D95"/>
        <w:sz w:val="16"/>
        <w:szCs w:val="16"/>
      </w:rPr>
    </w:pPr>
    <w:r>
      <w:rPr>
        <w:rFonts w:ascii="SST Arabic" w:eastAsia="Arial" w:hAnsi="SST Arabic" w:cs="SST Arabic"/>
        <w:b/>
        <w:bCs/>
        <w:color w:val="7A8D95"/>
        <w:sz w:val="16"/>
        <w:szCs w:val="16"/>
      </w:rPr>
      <w:fldChar w:fldCharType="begin"/>
    </w:r>
    <w:r>
      <w:rPr>
        <w:rFonts w:ascii="SST Arabic" w:eastAsia="Arial" w:hAnsi="SST Arabic" w:cs="SST Arabic"/>
        <w:b/>
        <w:bCs/>
        <w:color w:val="7A8D95"/>
        <w:sz w:val="16"/>
        <w:szCs w:val="16"/>
      </w:rPr>
      <w:instrText xml:space="preserve">PAGE  </w:instrText>
    </w:r>
    <w:r>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1</w:t>
    </w:r>
    <w:r>
      <w:rPr>
        <w:rFonts w:ascii="SST Arabic" w:eastAsia="Arial" w:hAnsi="SST Arabic" w:cs="SST Arabic"/>
        <w:b/>
        <w:bCs/>
        <w:color w:val="7A8D95"/>
        <w:sz w:val="16"/>
        <w:szCs w:val="16"/>
      </w:rPr>
      <w:fldChar w:fldCharType="end"/>
    </w:r>
  </w:p>
  <w:p w14:paraId="0C2243CA" w14:textId="0C6AF56E" w:rsidR="009210BF" w:rsidRPr="009A22A2" w:rsidRDefault="009A22A2" w:rsidP="009A22A2">
    <w:pPr>
      <w:bidi/>
      <w:spacing w:after="240"/>
      <w:ind w:left="-455" w:right="-90"/>
      <w:jc w:val="left"/>
      <w:rPr>
        <w:rFonts w:eastAsia="Arial" w:cs="Arial"/>
        <w:color w:val="7A8D95"/>
        <w:sz w:val="16"/>
        <w:szCs w:val="16"/>
      </w:rPr>
    </w:pPr>
    <w:r>
      <w:rPr>
        <w:rFonts w:eastAsia="Arial" w:cs="Arial" w:hint="cs"/>
        <w:color w:val="7A8D95"/>
        <w:sz w:val="16"/>
        <w:szCs w:val="16"/>
        <w:rtl/>
      </w:rPr>
      <w:t>بمجرد طباعة النسخة الإلكترونية من هذا المستند فإنها تصبح غير خاضعة للرقابة وقد تصبح نسخة قديمة، يرجى الرجوع إلى نظام إدارة المحتوى المؤسسي للحصول على آخر إصدار لهذا المستند</w:t>
    </w:r>
    <w:r>
      <w:rPr>
        <w:rFonts w:eastAsia="Arial" w:cs="Arial"/>
        <w:color w:val="7A8D95"/>
        <w:sz w:val="16"/>
        <w:szCs w:val="16"/>
      </w:rPr>
      <w:t>.</w:t>
    </w:r>
    <w:r>
      <w:rPr>
        <w:rFonts w:eastAsia="Arial" w:cs="Arial"/>
        <w:color w:val="7A8D95"/>
        <w:sz w:val="16"/>
        <w:szCs w:val="16"/>
      </w:rPr>
      <w:br/>
    </w:r>
    <w:r>
      <w:rPr>
        <w:rFonts w:eastAsia="Arial" w:cs="Arial" w:hint="cs"/>
        <w:color w:val="7A8D95"/>
        <w:sz w:val="16"/>
        <w:szCs w:val="16"/>
        <w:rtl/>
      </w:rPr>
      <w:t>إن هذا المستند ملكية خاصة لهيئة كفاءة الإنفاق والمشروعات الحكومية، ويخضع للقيود الموضحة بالإشعار الهام من هذا المستند.</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CED7E" w14:textId="77777777" w:rsidR="00B12A51" w:rsidRDefault="00B12A51">
      <w:r>
        <w:separator/>
      </w:r>
    </w:p>
    <w:p w14:paraId="75DFBBCF" w14:textId="77777777" w:rsidR="00B12A51" w:rsidRDefault="00B12A51"/>
  </w:footnote>
  <w:footnote w:type="continuationSeparator" w:id="0">
    <w:p w14:paraId="3FA27B69" w14:textId="77777777" w:rsidR="00B12A51" w:rsidRDefault="00B12A51">
      <w:r>
        <w:continuationSeparator/>
      </w:r>
    </w:p>
    <w:p w14:paraId="5765376C" w14:textId="77777777" w:rsidR="00B12A51" w:rsidRDefault="00B12A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6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
      <w:gridCol w:w="5770"/>
    </w:tblGrid>
    <w:tr w:rsidR="009210BF" w14:paraId="55B15A60" w14:textId="77777777" w:rsidTr="009A22A2">
      <w:trPr>
        <w:jc w:val="center"/>
      </w:trPr>
      <w:tc>
        <w:tcPr>
          <w:tcW w:w="460" w:type="dxa"/>
        </w:tcPr>
        <w:p w14:paraId="01975BF5" w14:textId="6FD964DD" w:rsidR="009210BF" w:rsidRDefault="009210BF" w:rsidP="00AC1B11">
          <w:pPr>
            <w:pStyle w:val="HeadingCenter"/>
            <w:bidi/>
            <w:jc w:val="both"/>
          </w:pPr>
        </w:p>
      </w:tc>
      <w:tc>
        <w:tcPr>
          <w:tcW w:w="5770" w:type="dxa"/>
          <w:vAlign w:val="center"/>
        </w:tcPr>
        <w:p w14:paraId="361EC67C" w14:textId="2B916C78" w:rsidR="009210BF" w:rsidRPr="006A25F8" w:rsidRDefault="009A22A2" w:rsidP="00EB1F02">
          <w:pPr>
            <w:pStyle w:val="CPDocTitle"/>
            <w:bidi/>
            <w:rPr>
              <w:kern w:val="32"/>
              <w:sz w:val="24"/>
              <w:szCs w:val="24"/>
              <w:lang w:val="en-GB"/>
            </w:rPr>
          </w:pPr>
          <w:r>
            <w:rPr>
              <w:rFonts w:hint="cs"/>
              <w:kern w:val="32"/>
              <w:sz w:val="24"/>
              <w:szCs w:val="24"/>
              <w:rtl/>
              <w:lang w:eastAsia="ar"/>
            </w:rPr>
            <w:t xml:space="preserve">نموذج </w:t>
          </w:r>
          <w:r w:rsidR="00B754A6" w:rsidRPr="00B754A6">
            <w:rPr>
              <w:kern w:val="32"/>
              <w:sz w:val="24"/>
              <w:szCs w:val="24"/>
              <w:rtl/>
              <w:lang w:eastAsia="ar"/>
            </w:rPr>
            <w:t>قائمة التدقيق الخاصة بإجراءات الاستجابة للطوارئ وأجهزة القياس والتحكم</w:t>
          </w:r>
        </w:p>
      </w:tc>
    </w:tr>
  </w:tbl>
  <w:p w14:paraId="0FE4F66F" w14:textId="04FAFC15" w:rsidR="009210BF" w:rsidRPr="00AC1B11" w:rsidRDefault="009A22A2" w:rsidP="00AC1B11">
    <w:pPr>
      <w:pStyle w:val="Header"/>
      <w:bidi/>
    </w:pPr>
    <w:r>
      <w:rPr>
        <w:noProof/>
      </w:rPr>
      <w:drawing>
        <wp:anchor distT="0" distB="0" distL="114300" distR="114300" simplePos="0" relativeHeight="251663360" behindDoc="0" locked="0" layoutInCell="1" allowOverlap="1" wp14:anchorId="0ECA25E3" wp14:editId="2736D3AE">
          <wp:simplePos x="0" y="0"/>
          <wp:positionH relativeFrom="page">
            <wp:align>left</wp:align>
          </wp:positionH>
          <wp:positionV relativeFrom="paragraph">
            <wp:posOffset>-661035</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3CF9"/>
    <w:rsid w:val="00024235"/>
    <w:rsid w:val="0002499E"/>
    <w:rsid w:val="00026479"/>
    <w:rsid w:val="00026742"/>
    <w:rsid w:val="000277A5"/>
    <w:rsid w:val="0003084E"/>
    <w:rsid w:val="000310E5"/>
    <w:rsid w:val="00032E45"/>
    <w:rsid w:val="00032E7C"/>
    <w:rsid w:val="00033477"/>
    <w:rsid w:val="000346AD"/>
    <w:rsid w:val="000354DB"/>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92"/>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1F24"/>
    <w:rsid w:val="00162A55"/>
    <w:rsid w:val="001657C6"/>
    <w:rsid w:val="00167CA1"/>
    <w:rsid w:val="00167F5D"/>
    <w:rsid w:val="00170157"/>
    <w:rsid w:val="001702B6"/>
    <w:rsid w:val="00170AA9"/>
    <w:rsid w:val="00170E89"/>
    <w:rsid w:val="00174132"/>
    <w:rsid w:val="00174D23"/>
    <w:rsid w:val="001776F2"/>
    <w:rsid w:val="00177C49"/>
    <w:rsid w:val="00180543"/>
    <w:rsid w:val="00180BC8"/>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EB0"/>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24A4"/>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3283"/>
    <w:rsid w:val="0024527D"/>
    <w:rsid w:val="00245C77"/>
    <w:rsid w:val="00246C3A"/>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0B81"/>
    <w:rsid w:val="002C1270"/>
    <w:rsid w:val="002C145E"/>
    <w:rsid w:val="002C1A17"/>
    <w:rsid w:val="002C1E1D"/>
    <w:rsid w:val="002C2D93"/>
    <w:rsid w:val="002C31FA"/>
    <w:rsid w:val="002C525C"/>
    <w:rsid w:val="002C5E13"/>
    <w:rsid w:val="002C6A21"/>
    <w:rsid w:val="002C6BDC"/>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1A4C"/>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6C81"/>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0899"/>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04EA"/>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C71C4"/>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5C7"/>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4D7E"/>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074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A48"/>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724"/>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05B77"/>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676"/>
    <w:rsid w:val="00832D3B"/>
    <w:rsid w:val="00832DFB"/>
    <w:rsid w:val="00833C12"/>
    <w:rsid w:val="00833E99"/>
    <w:rsid w:val="0083454D"/>
    <w:rsid w:val="00834669"/>
    <w:rsid w:val="008347B6"/>
    <w:rsid w:val="008347D3"/>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2DFE"/>
    <w:rsid w:val="008D335D"/>
    <w:rsid w:val="008D35D9"/>
    <w:rsid w:val="008D4404"/>
    <w:rsid w:val="008D4701"/>
    <w:rsid w:val="008D4B2B"/>
    <w:rsid w:val="008D70A5"/>
    <w:rsid w:val="008D79B6"/>
    <w:rsid w:val="008E06BB"/>
    <w:rsid w:val="008E16A7"/>
    <w:rsid w:val="008E187A"/>
    <w:rsid w:val="008E2649"/>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093A"/>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92A"/>
    <w:rsid w:val="00970BBA"/>
    <w:rsid w:val="00970F82"/>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22A2"/>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1622"/>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4ABA"/>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15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0B50"/>
    <w:rsid w:val="00AA17AD"/>
    <w:rsid w:val="00AA1A6F"/>
    <w:rsid w:val="00AA2558"/>
    <w:rsid w:val="00AA2E6A"/>
    <w:rsid w:val="00AA3CD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6E1"/>
    <w:rsid w:val="00AF1B09"/>
    <w:rsid w:val="00AF2843"/>
    <w:rsid w:val="00AF53D8"/>
    <w:rsid w:val="00AF714C"/>
    <w:rsid w:val="00B00850"/>
    <w:rsid w:val="00B0266B"/>
    <w:rsid w:val="00B1110B"/>
    <w:rsid w:val="00B12A51"/>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4894"/>
    <w:rsid w:val="00B754A6"/>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109"/>
    <w:rsid w:val="00C407D3"/>
    <w:rsid w:val="00C42C01"/>
    <w:rsid w:val="00C435D4"/>
    <w:rsid w:val="00C4446E"/>
    <w:rsid w:val="00C449C3"/>
    <w:rsid w:val="00C45601"/>
    <w:rsid w:val="00C46833"/>
    <w:rsid w:val="00C5377E"/>
    <w:rsid w:val="00C53A88"/>
    <w:rsid w:val="00C53B99"/>
    <w:rsid w:val="00C5443F"/>
    <w:rsid w:val="00C5449E"/>
    <w:rsid w:val="00C544AA"/>
    <w:rsid w:val="00C548DB"/>
    <w:rsid w:val="00C54B4D"/>
    <w:rsid w:val="00C55E30"/>
    <w:rsid w:val="00C56436"/>
    <w:rsid w:val="00C604A1"/>
    <w:rsid w:val="00C60C2F"/>
    <w:rsid w:val="00C6232E"/>
    <w:rsid w:val="00C627E8"/>
    <w:rsid w:val="00C6423E"/>
    <w:rsid w:val="00C64450"/>
    <w:rsid w:val="00C66466"/>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0787"/>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1F02"/>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C73"/>
    <w:rsid w:val="00ED0E07"/>
    <w:rsid w:val="00ED2503"/>
    <w:rsid w:val="00ED32CA"/>
    <w:rsid w:val="00ED375C"/>
    <w:rsid w:val="00ED3E2F"/>
    <w:rsid w:val="00ED410B"/>
    <w:rsid w:val="00ED543C"/>
    <w:rsid w:val="00ED5FB4"/>
    <w:rsid w:val="00ED64CA"/>
    <w:rsid w:val="00ED6545"/>
    <w:rsid w:val="00ED7131"/>
    <w:rsid w:val="00ED79CA"/>
    <w:rsid w:val="00ED7B6D"/>
    <w:rsid w:val="00EE165B"/>
    <w:rsid w:val="00EE2693"/>
    <w:rsid w:val="00EE3543"/>
    <w:rsid w:val="00EE39CC"/>
    <w:rsid w:val="00EE3C69"/>
    <w:rsid w:val="00EE46B3"/>
    <w:rsid w:val="00EE5254"/>
    <w:rsid w:val="00EE5A41"/>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0C4"/>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64584A9469418AB4E3D8800E846DB7"/>
        <w:category>
          <w:name w:val="General"/>
          <w:gallery w:val="placeholder"/>
        </w:category>
        <w:types>
          <w:type w:val="bbPlcHdr"/>
        </w:types>
        <w:behaviors>
          <w:behavior w:val="content"/>
        </w:behaviors>
        <w:guid w:val="{5C414167-4CEB-4C6C-BF44-7C1C3E586A4B}"/>
      </w:docPartPr>
      <w:docPartBody>
        <w:p w:rsidR="00057D27" w:rsidRDefault="00975F2D" w:rsidP="00975F2D">
          <w:pPr>
            <w:pStyle w:val="5E64584A9469418AB4E3D8800E846DB7"/>
          </w:pPr>
          <w:r>
            <w:rPr>
              <w:rStyle w:val="PlaceholderText"/>
            </w:rPr>
            <w:t>[Subject]</w:t>
          </w:r>
        </w:p>
      </w:docPartBody>
    </w:docPart>
    <w:docPart>
      <w:docPartPr>
        <w:name w:val="F34D1980DF204EA9A4B7B424CDE15087"/>
        <w:category>
          <w:name w:val="General"/>
          <w:gallery w:val="placeholder"/>
        </w:category>
        <w:types>
          <w:type w:val="bbPlcHdr"/>
        </w:types>
        <w:behaviors>
          <w:behavior w:val="content"/>
        </w:behaviors>
        <w:guid w:val="{E4FBF42A-5CB5-4433-A001-39A76316CD36}"/>
      </w:docPartPr>
      <w:docPartBody>
        <w:p w:rsidR="00057D27" w:rsidRDefault="00975F2D" w:rsidP="00975F2D">
          <w:pPr>
            <w:pStyle w:val="F34D1980DF204EA9A4B7B424CDE15087"/>
          </w:pPr>
          <w:r>
            <w:rPr>
              <w:rStyle w:val="PlaceholderText"/>
            </w:rPr>
            <w:t>[Status]</w:t>
          </w:r>
        </w:p>
      </w:docPartBody>
    </w:docPart>
    <w:docPart>
      <w:docPartPr>
        <w:name w:val="F535B59F730C4547AA1F141E3DC2959F"/>
        <w:category>
          <w:name w:val="General"/>
          <w:gallery w:val="placeholder"/>
        </w:category>
        <w:types>
          <w:type w:val="bbPlcHdr"/>
        </w:types>
        <w:behaviors>
          <w:behavior w:val="content"/>
        </w:behaviors>
        <w:guid w:val="{F62FA134-E468-4250-AD49-48F63247D1D6}"/>
      </w:docPartPr>
      <w:docPartBody>
        <w:p w:rsidR="00057D27" w:rsidRDefault="00975F2D" w:rsidP="00975F2D">
          <w:pPr>
            <w:pStyle w:val="F535B59F730C4547AA1F141E3DC2959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F2D"/>
    <w:rsid w:val="00057D27"/>
    <w:rsid w:val="0008765E"/>
    <w:rsid w:val="00975F2D"/>
    <w:rsid w:val="00FF23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F2D"/>
  </w:style>
  <w:style w:type="paragraph" w:customStyle="1" w:styleId="5E64584A9469418AB4E3D8800E846DB7">
    <w:name w:val="5E64584A9469418AB4E3D8800E846DB7"/>
    <w:rsid w:val="00975F2D"/>
  </w:style>
  <w:style w:type="paragraph" w:customStyle="1" w:styleId="F34D1980DF204EA9A4B7B424CDE15087">
    <w:name w:val="F34D1980DF204EA9A4B7B424CDE15087"/>
    <w:rsid w:val="00975F2D"/>
  </w:style>
  <w:style w:type="paragraph" w:customStyle="1" w:styleId="F535B59F730C4547AA1F141E3DC2959F">
    <w:name w:val="F535B59F730C4547AA1F141E3DC2959F"/>
    <w:rsid w:val="00975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F566101C-22FB-4E10-B58D-E7FA37A73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8</TotalTime>
  <Pages>1</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3058</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EOM-ZO0-TP-000124-AR</dc:subject>
  <dc:creator>Rivamonte, Leonnito (RMP)</dc:creator>
  <cp:keywords>ᅟ</cp:keywords>
  <cp:lastModifiedBy>اسماء المطيري Asma Almutairi</cp:lastModifiedBy>
  <cp:revision>13</cp:revision>
  <cp:lastPrinted>2017-10-17T10:11:00Z</cp:lastPrinted>
  <dcterms:created xsi:type="dcterms:W3CDTF">2021-08-22T20:52:00Z</dcterms:created>
  <dcterms:modified xsi:type="dcterms:W3CDTF">2022-02-06T12:19:00Z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